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Times New Roman" w:hAnsi="方正小标宋简体" w:eastAsia="方正小标宋简体" w:cs="方正小标宋简体"/>
          <w:color w:val="000000"/>
          <w:kern w:val="0"/>
          <w:sz w:val="36"/>
          <w:szCs w:val="36"/>
        </w:rPr>
      </w:pPr>
      <w:bookmarkStart w:id="0" w:name="_GoBack"/>
      <w:r>
        <w:rPr>
          <w:rFonts w:hint="eastAsia" w:ascii="Times New Roman" w:hAnsi="Verdana" w:eastAsia="仿宋_GB2312" w:cs="仿宋_GB2312"/>
          <w:color w:val="000000"/>
          <w:kern w:val="0"/>
          <w:sz w:val="32"/>
          <w:szCs w:val="32"/>
          <w:lang w:val="en-US" w:eastAsia="zh-CN"/>
        </w:rPr>
        <w:t>附件3</w:t>
      </w:r>
    </w:p>
    <w:bookmarkEnd w:id="0"/>
    <w:p>
      <w:pPr>
        <w:widowControl/>
        <w:jc w:val="center"/>
        <w:rPr>
          <w:rFonts w:hint="eastAsia" w:ascii="Times New Roman" w:hAnsi="方正小标宋简体" w:eastAsia="方正小标宋简体" w:cs="方正小标宋简体"/>
          <w:color w:val="000000"/>
          <w:kern w:val="0"/>
          <w:sz w:val="36"/>
          <w:szCs w:val="36"/>
        </w:rPr>
      </w:pPr>
      <w:r>
        <w:rPr>
          <w:rFonts w:hint="eastAsia" w:ascii="Times New Roman" w:hAnsi="方正小标宋简体" w:eastAsia="方正小标宋简体" w:cs="方正小标宋简体"/>
          <w:color w:val="000000"/>
          <w:kern w:val="0"/>
          <w:sz w:val="36"/>
          <w:szCs w:val="36"/>
        </w:rPr>
        <w:t>数字经济专业教学质量标准</w:t>
      </w: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 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数字经济是全国高等学校经济学学科的重要组成部分，学科基础包括经济学、管理学、统计学、计算机科学、电子商务、数字金融、数字贸易，具有跨学科特点。数字经济专业可与金融学、国际经济与贸易专业进行融合，形成复合型专业，以适应社会对复合型人才的需求。</w:t>
      </w: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 适用专业范围</w:t>
      </w:r>
    </w:p>
    <w:p>
      <w:pPr>
        <w:jc w:val="both"/>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2.1 专业代码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020109T</w:t>
      </w:r>
    </w:p>
    <w:p>
      <w:pPr>
        <w:jc w:val="both"/>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2.2 适用的专业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数字经济（020109T）</w:t>
      </w: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 培养目标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本专业培养适应社会需要的德、智、体、美、劳全面发展，掌握经济学、管理学、统计学、计算机科学的基础理论知识和现代经济学的基本方法及数字技能，具有良好的专业素养，较强实践能力和创新意识，适应地方区域经济发展需要，能在数字经济相关企业、金融机构、政府机构等从事产业数字化规划与转型建设、数据分析与挖掘、数字媒体运营的高素质复合应用型专业人才。</w:t>
      </w: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4 培养规格</w:t>
      </w:r>
    </w:p>
    <w:p>
      <w:pPr>
        <w:jc w:val="both"/>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4.1 学制与学位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学制：基本学制4年，修业年限3～7年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学位：经济学学士</w:t>
      </w:r>
    </w:p>
    <w:p>
      <w:pPr>
        <w:jc w:val="both"/>
        <w:rPr>
          <w:rFonts w:hint="eastAsia" w:ascii="方正楷体_GB2312" w:hAnsi="方正楷体_GB2312" w:eastAsia="方正楷体_GB2312" w:cs="方正楷体_GB2312"/>
          <w:b/>
          <w:bCs/>
          <w:sz w:val="32"/>
          <w:szCs w:val="32"/>
          <w:lang w:val="en-US" w:eastAsia="zh-CN"/>
        </w:rPr>
      </w:pPr>
    </w:p>
    <w:p>
      <w:pPr>
        <w:jc w:val="both"/>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4.2 素质要求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具有正确的人生观、价值观和世界观；具有良好的道德修养、职业素养、法治意识和社会责任感；具有持续的创新精神、创业意识；具有完整的知识结构和良好的科学素养、人文素养；具有较高的文化品位和审美情趣；具有良好的身体素质和健康的心理素质。</w:t>
      </w:r>
    </w:p>
    <w:p>
      <w:pPr>
        <w:jc w:val="both"/>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4.3 知识要求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lang w:val="en-US" w:eastAsia="zh-CN"/>
        </w:rPr>
      </w:pPr>
      <w:r>
        <w:rPr>
          <w:rFonts w:hint="eastAsia" w:ascii="方正仿宋_GB2312" w:hAnsi="方正仿宋_GB2312" w:eastAsia="方正仿宋_GB2312" w:cs="方正仿宋_GB2312"/>
          <w:sz w:val="32"/>
          <w:szCs w:val="32"/>
          <w:lang w:val="en-US" w:eastAsia="zh-CN"/>
        </w:rPr>
        <w:t>牢固掌握经济学基础知识、基本理论和基本应用技能；掌握经济运行规律和经济指标的内在联系；具有理解经济、金融规律所需的经济学、管理学、数学、计量分析、数字经济学基础知识；</w:t>
      </w:r>
      <w:r>
        <w:rPr>
          <w:rFonts w:hint="default" w:ascii="方正仿宋_GB2312" w:hAnsi="方正仿宋_GB2312" w:eastAsia="方正仿宋_GB2312" w:cs="方正仿宋_GB2312"/>
          <w:sz w:val="32"/>
          <w:szCs w:val="32"/>
          <w:lang w:val="en-US" w:eastAsia="zh-CN"/>
        </w:rPr>
        <w:t>理解</w:t>
      </w:r>
      <w:r>
        <w:rPr>
          <w:rFonts w:hint="eastAsia" w:ascii="方正仿宋_GB2312" w:hAnsi="方正仿宋_GB2312" w:eastAsia="方正仿宋_GB2312" w:cs="方正仿宋_GB2312"/>
          <w:sz w:val="32"/>
          <w:szCs w:val="32"/>
          <w:lang w:val="en-US" w:eastAsia="zh-CN"/>
        </w:rPr>
        <w:t>数字</w:t>
      </w:r>
      <w:r>
        <w:rPr>
          <w:rFonts w:hint="default" w:ascii="方正仿宋_GB2312" w:hAnsi="方正仿宋_GB2312" w:eastAsia="方正仿宋_GB2312" w:cs="方正仿宋_GB2312"/>
          <w:sz w:val="32"/>
          <w:szCs w:val="32"/>
          <w:lang w:val="en-US" w:eastAsia="zh-CN"/>
        </w:rPr>
        <w:t>经济理论的内涵、发展演进、学派差异及争论重点；熟悉</w:t>
      </w:r>
      <w:r>
        <w:rPr>
          <w:rFonts w:hint="eastAsia" w:ascii="方正仿宋_GB2312" w:hAnsi="方正仿宋_GB2312" w:eastAsia="方正仿宋_GB2312" w:cs="方正仿宋_GB2312"/>
          <w:sz w:val="32"/>
          <w:szCs w:val="32"/>
          <w:lang w:val="en-US" w:eastAsia="zh-CN"/>
        </w:rPr>
        <w:t>数字经济</w:t>
      </w:r>
      <w:r>
        <w:rPr>
          <w:rFonts w:hint="default" w:ascii="方正仿宋_GB2312" w:hAnsi="方正仿宋_GB2312" w:eastAsia="方正仿宋_GB2312" w:cs="方正仿宋_GB2312"/>
          <w:sz w:val="32"/>
          <w:szCs w:val="32"/>
          <w:lang w:val="en-US" w:eastAsia="zh-CN"/>
        </w:rPr>
        <w:t>理论运用的市场环境、政策依据和政策效果；</w:t>
      </w:r>
      <w:r>
        <w:rPr>
          <w:rFonts w:hint="eastAsia" w:ascii="方正仿宋_GB2312" w:hAnsi="方正仿宋_GB2312" w:eastAsia="方正仿宋_GB2312" w:cs="方正仿宋_GB2312"/>
          <w:sz w:val="32"/>
          <w:szCs w:val="32"/>
          <w:lang w:val="en-US" w:eastAsia="zh-CN"/>
        </w:rPr>
        <w:t>熟悉不同领域数字化转型运作模式，掌握数字经济发展现状及趋势。</w:t>
      </w:r>
    </w:p>
    <w:p>
      <w:pPr>
        <w:jc w:val="both"/>
        <w:rPr>
          <w:rFonts w:hint="default"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4.4 能力要求</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4.4.1 数据分析与挖掘能力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具备数据挖掘与分析的能力；掌握基本数据库的应用及基本分析工具的使用；具备数据挖掘工程师基本素养和能力。</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4.4.2 数字化转型建设与管理能力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具有良好的逻辑能力，战略思维和表达能力；熟练掌握市场调研、战略规划及数字化转型解决方案设计等技巧；熟悉经济、管理、数字经济与信息技术等领域的相关政策、法律和标准等方面的知识，能够对企事业单位的数字化转型进行规划和实施，促进产业数字化的发展。</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4.4.3 经济分析与预判能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具备较强的计算机应用能力，了解数字经济发展动态；能够在信息化、网络化背景下进行经济计量分析与预判。</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4.4.4 金融大数据分析能力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掌握区块链技术在金融领域的应用及互联网金融产品策划和项目管理的能力。</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4.4.5 沟通与协调能力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具有一定的外语应用能力，能阅读本专业的外文资料，具备一定的国际视野和跨文化环境下的交流、竞争与合作的初步能力；具备针对经济、企业数字化转型等问题，与国内外同行进行交流，能清晰表达专业观点。具有团队协作精神，能够基于团队完成数字化转型建设等业务。</w:t>
      </w: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5 课程体系</w:t>
      </w:r>
    </w:p>
    <w:p>
      <w:pPr>
        <w:jc w:val="both"/>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5.1总体框架</w:t>
      </w:r>
    </w:p>
    <w:p>
      <w:pPr>
        <w:jc w:val="center"/>
        <w:rPr>
          <w:rFonts w:hint="eastAsia" w:ascii="宋体" w:hAnsi="宋体" w:eastAsia="宋体" w:cs="宋体"/>
          <w:b/>
          <w:bCs/>
          <w:sz w:val="28"/>
          <w:szCs w:val="28"/>
          <w:lang w:val="en-US" w:eastAsia="zh-CN"/>
        </w:rPr>
      </w:pPr>
      <w:r>
        <w:rPr>
          <w:rFonts w:hint="eastAsia" w:ascii="宋体" w:hAnsi="宋体" w:eastAsia="宋体" w:cs="宋体"/>
          <w:sz w:val="28"/>
          <w:szCs w:val="28"/>
          <w:lang w:val="en-US" w:eastAsia="zh-CN"/>
        </w:rPr>
        <w:t xml:space="preserve">表1 </w:t>
      </w:r>
      <w:r>
        <w:rPr>
          <w:rFonts w:hint="eastAsia" w:ascii="宋体" w:hAnsi="宋体" w:eastAsia="宋体" w:cs="宋体"/>
          <w:sz w:val="28"/>
          <w:szCs w:val="28"/>
        </w:rPr>
        <w:t>理论教学和实践教学学分统计表</w:t>
      </w:r>
    </w:p>
    <w:tbl>
      <w:tblPr>
        <w:tblStyle w:val="3"/>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4"/>
        <w:gridCol w:w="2494"/>
        <w:gridCol w:w="1461"/>
        <w:gridCol w:w="1461"/>
        <w:gridCol w:w="6"/>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8" w:type="dxa"/>
            <w:gridSpan w:val="2"/>
            <w:vAlign w:val="center"/>
          </w:tcPr>
          <w:p>
            <w:pPr>
              <w:jc w:val="center"/>
              <w:rPr>
                <w:rFonts w:hint="eastAsia" w:ascii="宋体" w:hAnsi="宋体" w:eastAsia="宋体" w:cs="宋体"/>
                <w:sz w:val="28"/>
                <w:szCs w:val="28"/>
              </w:rPr>
            </w:pPr>
            <w:r>
              <w:rPr>
                <w:rFonts w:hint="eastAsia" w:ascii="宋体" w:hAnsi="宋体" w:eastAsia="宋体" w:cs="宋体"/>
                <w:sz w:val="28"/>
                <w:szCs w:val="28"/>
              </w:rPr>
              <w:t>课程类别</w:t>
            </w:r>
          </w:p>
        </w:tc>
        <w:tc>
          <w:tcPr>
            <w:tcW w:w="1461"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学分</w:t>
            </w:r>
          </w:p>
        </w:tc>
        <w:tc>
          <w:tcPr>
            <w:tcW w:w="1461"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学分小计</w:t>
            </w:r>
          </w:p>
        </w:tc>
        <w:tc>
          <w:tcPr>
            <w:tcW w:w="2180" w:type="dxa"/>
            <w:gridSpan w:val="2"/>
            <w:vAlign w:val="center"/>
          </w:tcPr>
          <w:p>
            <w:pPr>
              <w:jc w:val="center"/>
              <w:rPr>
                <w:rFonts w:hint="eastAsia" w:ascii="宋体" w:hAnsi="宋体" w:eastAsia="宋体" w:cs="宋体"/>
                <w:sz w:val="28"/>
                <w:szCs w:val="28"/>
              </w:rPr>
            </w:pPr>
            <w:r>
              <w:rPr>
                <w:rFonts w:hint="eastAsia" w:ascii="宋体" w:hAnsi="宋体" w:eastAsia="宋体" w:cs="宋体"/>
                <w:sz w:val="28"/>
                <w:szCs w:val="28"/>
              </w:rPr>
              <w:t>占总学分百分比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vMerge w:val="restart"/>
            <w:vAlign w:val="center"/>
          </w:tcPr>
          <w:p>
            <w:pPr>
              <w:jc w:val="center"/>
              <w:rPr>
                <w:rFonts w:hint="eastAsia" w:ascii="宋体" w:hAnsi="宋体" w:eastAsia="宋体" w:cs="宋体"/>
                <w:sz w:val="28"/>
                <w:szCs w:val="28"/>
              </w:rPr>
            </w:pPr>
            <w:r>
              <w:rPr>
                <w:rFonts w:hint="eastAsia" w:ascii="宋体" w:hAnsi="宋体" w:eastAsia="宋体" w:cs="宋体"/>
                <w:sz w:val="28"/>
                <w:szCs w:val="28"/>
              </w:rPr>
              <w:t>理论教学</w:t>
            </w:r>
          </w:p>
        </w:tc>
        <w:tc>
          <w:tcPr>
            <w:tcW w:w="2494"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通识教育课程</w:t>
            </w:r>
          </w:p>
        </w:tc>
        <w:tc>
          <w:tcPr>
            <w:tcW w:w="146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28"/>
                <w:szCs w:val="28"/>
              </w:rPr>
            </w:pPr>
            <w:r>
              <w:rPr>
                <w:rFonts w:hint="eastAsia" w:ascii="宋体" w:hAnsi="宋体" w:eastAsia="宋体" w:cs="宋体"/>
                <w:i w:val="0"/>
                <w:iCs w:val="0"/>
                <w:color w:val="000000"/>
                <w:kern w:val="0"/>
                <w:sz w:val="28"/>
                <w:szCs w:val="28"/>
                <w:u w:val="none"/>
                <w:lang w:val="en-US" w:eastAsia="zh-CN" w:bidi="ar"/>
              </w:rPr>
              <w:t>44</w:t>
            </w:r>
          </w:p>
        </w:tc>
        <w:tc>
          <w:tcPr>
            <w:tcW w:w="1467" w:type="dxa"/>
            <w:gridSpan w:val="2"/>
            <w:vMerge w:val="restart"/>
            <w:vAlign w:val="center"/>
          </w:tcPr>
          <w:p>
            <w:pPr>
              <w:widowControl/>
              <w:adjustRightInd w:val="0"/>
              <w:snapToGrid w:val="0"/>
              <w:jc w:val="center"/>
              <w:rPr>
                <w:rFonts w:hint="eastAsia" w:ascii="宋体" w:hAnsi="宋体" w:eastAsia="宋体" w:cs="宋体"/>
                <w:sz w:val="28"/>
                <w:szCs w:val="28"/>
              </w:rPr>
            </w:pPr>
            <w:r>
              <w:rPr>
                <w:rFonts w:hint="eastAsia" w:ascii="宋体" w:hAnsi="宋体" w:eastAsia="宋体" w:cs="宋体"/>
                <w:sz w:val="28"/>
                <w:szCs w:val="28"/>
                <w:highlight w:val="none"/>
                <w:lang w:val="en-US" w:eastAsia="zh-CN"/>
              </w:rPr>
              <w:t>97.5</w:t>
            </w:r>
          </w:p>
        </w:tc>
        <w:tc>
          <w:tcPr>
            <w:tcW w:w="2174" w:type="dxa"/>
            <w:vMerge w:val="restart"/>
            <w:vAlign w:val="center"/>
          </w:tcPr>
          <w:p>
            <w:pPr>
              <w:widowControl/>
              <w:adjustRightInd w:val="0"/>
              <w:snapToGrid w:val="0"/>
              <w:jc w:val="center"/>
              <w:rPr>
                <w:rFonts w:hint="eastAsia" w:ascii="宋体" w:hAnsi="宋体" w:eastAsia="宋体" w:cs="宋体"/>
                <w:sz w:val="28"/>
                <w:szCs w:val="28"/>
              </w:rPr>
            </w:pPr>
            <w:r>
              <w:rPr>
                <w:rFonts w:hint="eastAsia" w:ascii="宋体" w:hAnsi="宋体" w:eastAsia="宋体" w:cs="宋体"/>
                <w:sz w:val="28"/>
                <w:szCs w:val="28"/>
                <w:highlight w:val="none"/>
              </w:rPr>
              <w:t>6</w:t>
            </w:r>
            <w:r>
              <w:rPr>
                <w:rFonts w:hint="eastAsia" w:ascii="宋体" w:hAnsi="宋体" w:eastAsia="宋体" w:cs="宋体"/>
                <w:sz w:val="28"/>
                <w:szCs w:val="28"/>
                <w:highlight w:val="none"/>
                <w:lang w:val="en-US" w:eastAsia="zh-CN"/>
              </w:rPr>
              <w:t>0.9</w:t>
            </w:r>
            <w:r>
              <w:rPr>
                <w:rFonts w:hint="eastAsia" w:ascii="宋体" w:hAnsi="宋体" w:eastAsia="宋体" w:cs="宋体"/>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vMerge w:val="continue"/>
            <w:vAlign w:val="center"/>
          </w:tcPr>
          <w:p>
            <w:pPr>
              <w:jc w:val="center"/>
              <w:rPr>
                <w:rFonts w:hint="eastAsia" w:ascii="宋体" w:hAnsi="宋体" w:eastAsia="宋体" w:cs="宋体"/>
                <w:sz w:val="28"/>
                <w:szCs w:val="28"/>
              </w:rPr>
            </w:pPr>
          </w:p>
        </w:tc>
        <w:tc>
          <w:tcPr>
            <w:tcW w:w="2494"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学科专业基础课程</w:t>
            </w:r>
          </w:p>
        </w:tc>
        <w:tc>
          <w:tcPr>
            <w:tcW w:w="146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28"/>
                <w:szCs w:val="28"/>
              </w:rPr>
            </w:pPr>
            <w:r>
              <w:rPr>
                <w:rFonts w:hint="eastAsia" w:ascii="宋体" w:hAnsi="宋体" w:eastAsia="宋体" w:cs="宋体"/>
                <w:i w:val="0"/>
                <w:iCs w:val="0"/>
                <w:color w:val="000000"/>
                <w:kern w:val="0"/>
                <w:sz w:val="28"/>
                <w:szCs w:val="28"/>
                <w:u w:val="none"/>
                <w:lang w:val="en-US" w:eastAsia="zh-CN" w:bidi="ar"/>
              </w:rPr>
              <w:t>31.5</w:t>
            </w:r>
          </w:p>
        </w:tc>
        <w:tc>
          <w:tcPr>
            <w:tcW w:w="1467" w:type="dxa"/>
            <w:gridSpan w:val="2"/>
            <w:vMerge w:val="continue"/>
            <w:vAlign w:val="center"/>
          </w:tcPr>
          <w:p>
            <w:pPr>
              <w:jc w:val="center"/>
              <w:rPr>
                <w:rFonts w:hint="eastAsia" w:ascii="宋体" w:hAnsi="宋体" w:eastAsia="宋体" w:cs="宋体"/>
                <w:sz w:val="28"/>
                <w:szCs w:val="28"/>
              </w:rPr>
            </w:pPr>
          </w:p>
        </w:tc>
        <w:tc>
          <w:tcPr>
            <w:tcW w:w="2174" w:type="dxa"/>
            <w:vMerge w:val="continue"/>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vMerge w:val="continue"/>
            <w:vAlign w:val="center"/>
          </w:tcPr>
          <w:p>
            <w:pPr>
              <w:jc w:val="center"/>
              <w:rPr>
                <w:rFonts w:hint="eastAsia" w:ascii="宋体" w:hAnsi="宋体" w:eastAsia="宋体" w:cs="宋体"/>
                <w:sz w:val="28"/>
                <w:szCs w:val="28"/>
              </w:rPr>
            </w:pPr>
          </w:p>
        </w:tc>
        <w:tc>
          <w:tcPr>
            <w:tcW w:w="2494"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专业课程</w:t>
            </w:r>
          </w:p>
        </w:tc>
        <w:tc>
          <w:tcPr>
            <w:tcW w:w="146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28"/>
                <w:szCs w:val="28"/>
              </w:rPr>
            </w:pPr>
            <w:r>
              <w:rPr>
                <w:rFonts w:hint="eastAsia" w:ascii="宋体" w:hAnsi="宋体" w:eastAsia="宋体" w:cs="宋体"/>
                <w:i w:val="0"/>
                <w:iCs w:val="0"/>
                <w:color w:val="000000"/>
                <w:kern w:val="0"/>
                <w:sz w:val="28"/>
                <w:szCs w:val="28"/>
                <w:u w:val="none"/>
                <w:lang w:val="en-US" w:eastAsia="zh-CN" w:bidi="ar"/>
              </w:rPr>
              <w:t>22</w:t>
            </w:r>
          </w:p>
        </w:tc>
        <w:tc>
          <w:tcPr>
            <w:tcW w:w="1467" w:type="dxa"/>
            <w:gridSpan w:val="2"/>
            <w:vMerge w:val="continue"/>
            <w:vAlign w:val="center"/>
          </w:tcPr>
          <w:p>
            <w:pPr>
              <w:jc w:val="center"/>
              <w:rPr>
                <w:rFonts w:hint="eastAsia" w:ascii="宋体" w:hAnsi="宋体" w:eastAsia="宋体" w:cs="宋体"/>
                <w:sz w:val="28"/>
                <w:szCs w:val="28"/>
              </w:rPr>
            </w:pPr>
          </w:p>
        </w:tc>
        <w:tc>
          <w:tcPr>
            <w:tcW w:w="2174" w:type="dxa"/>
            <w:vMerge w:val="continue"/>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vMerge w:val="restart"/>
            <w:vAlign w:val="center"/>
          </w:tcPr>
          <w:p>
            <w:pPr>
              <w:jc w:val="center"/>
              <w:rPr>
                <w:rFonts w:hint="eastAsia" w:ascii="宋体" w:hAnsi="宋体" w:eastAsia="宋体" w:cs="宋体"/>
                <w:sz w:val="28"/>
                <w:szCs w:val="28"/>
              </w:rPr>
            </w:pPr>
            <w:r>
              <w:rPr>
                <w:rFonts w:hint="eastAsia" w:ascii="宋体" w:hAnsi="宋体" w:eastAsia="宋体" w:cs="宋体"/>
                <w:sz w:val="28"/>
                <w:szCs w:val="28"/>
              </w:rPr>
              <w:t>实践教学</w:t>
            </w:r>
          </w:p>
        </w:tc>
        <w:tc>
          <w:tcPr>
            <w:tcW w:w="2494"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课内实验（实践）</w:t>
            </w:r>
          </w:p>
        </w:tc>
        <w:tc>
          <w:tcPr>
            <w:tcW w:w="146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28"/>
                <w:szCs w:val="28"/>
              </w:rPr>
            </w:pPr>
            <w:r>
              <w:rPr>
                <w:rFonts w:hint="eastAsia" w:ascii="宋体" w:hAnsi="宋体" w:eastAsia="宋体" w:cs="宋体"/>
                <w:i w:val="0"/>
                <w:iCs w:val="0"/>
                <w:color w:val="000000"/>
                <w:kern w:val="0"/>
                <w:sz w:val="28"/>
                <w:szCs w:val="28"/>
                <w:u w:val="none"/>
                <w:lang w:val="en-US" w:eastAsia="zh-CN" w:bidi="ar"/>
              </w:rPr>
              <w:t>17.5</w:t>
            </w:r>
          </w:p>
        </w:tc>
        <w:tc>
          <w:tcPr>
            <w:tcW w:w="1467" w:type="dxa"/>
            <w:gridSpan w:val="2"/>
            <w:vMerge w:val="restart"/>
            <w:vAlign w:val="center"/>
          </w:tcPr>
          <w:p>
            <w:pPr>
              <w:widowControl/>
              <w:adjustRightInd w:val="0"/>
              <w:snapToGrid w:val="0"/>
              <w:jc w:val="center"/>
              <w:rPr>
                <w:rFonts w:hint="eastAsia" w:ascii="宋体" w:hAnsi="宋体" w:eastAsia="宋体" w:cs="宋体"/>
                <w:sz w:val="28"/>
                <w:szCs w:val="28"/>
              </w:rPr>
            </w:pPr>
            <w:r>
              <w:rPr>
                <w:rFonts w:hint="eastAsia" w:ascii="宋体" w:hAnsi="宋体" w:eastAsia="宋体" w:cs="宋体"/>
                <w:sz w:val="28"/>
                <w:szCs w:val="28"/>
                <w:highlight w:val="none"/>
                <w:lang w:val="en-US" w:eastAsia="zh-CN"/>
              </w:rPr>
              <w:t>62.5</w:t>
            </w:r>
          </w:p>
        </w:tc>
        <w:tc>
          <w:tcPr>
            <w:tcW w:w="2174" w:type="dxa"/>
            <w:vMerge w:val="restart"/>
            <w:vAlign w:val="center"/>
          </w:tcPr>
          <w:p>
            <w:pPr>
              <w:widowControl/>
              <w:adjustRightInd w:val="0"/>
              <w:snapToGrid w:val="0"/>
              <w:jc w:val="center"/>
              <w:rPr>
                <w:rFonts w:hint="eastAsia" w:ascii="宋体" w:hAnsi="宋体" w:eastAsia="宋体" w:cs="宋体"/>
                <w:sz w:val="28"/>
                <w:szCs w:val="28"/>
              </w:rPr>
            </w:pPr>
            <w:r>
              <w:rPr>
                <w:rFonts w:hint="eastAsia" w:ascii="宋体" w:hAnsi="宋体" w:eastAsia="宋体" w:cs="宋体"/>
                <w:sz w:val="28"/>
                <w:szCs w:val="28"/>
                <w:highlight w:val="none"/>
                <w:lang w:val="en-US" w:eastAsia="zh-CN"/>
              </w:rPr>
              <w:t>39.1</w:t>
            </w:r>
            <w:r>
              <w:rPr>
                <w:rFonts w:hint="eastAsia" w:ascii="宋体" w:hAnsi="宋体" w:eastAsia="宋体" w:cs="宋体"/>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vMerge w:val="continue"/>
            <w:vAlign w:val="center"/>
          </w:tcPr>
          <w:p>
            <w:pPr>
              <w:jc w:val="center"/>
              <w:rPr>
                <w:rFonts w:hint="eastAsia" w:ascii="宋体" w:hAnsi="宋体" w:eastAsia="宋体" w:cs="宋体"/>
                <w:sz w:val="28"/>
                <w:szCs w:val="28"/>
              </w:rPr>
            </w:pPr>
          </w:p>
        </w:tc>
        <w:tc>
          <w:tcPr>
            <w:tcW w:w="2494"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独立实验</w:t>
            </w:r>
          </w:p>
        </w:tc>
        <w:tc>
          <w:tcPr>
            <w:tcW w:w="146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28"/>
                <w:szCs w:val="28"/>
              </w:rPr>
            </w:pPr>
            <w:r>
              <w:rPr>
                <w:rFonts w:hint="eastAsia" w:ascii="宋体" w:hAnsi="宋体" w:eastAsia="宋体" w:cs="宋体"/>
                <w:i w:val="0"/>
                <w:iCs w:val="0"/>
                <w:color w:val="000000"/>
                <w:kern w:val="0"/>
                <w:sz w:val="28"/>
                <w:szCs w:val="28"/>
                <w:u w:val="none"/>
                <w:lang w:val="en-US" w:eastAsia="zh-CN" w:bidi="ar"/>
              </w:rPr>
              <w:t>15</w:t>
            </w:r>
          </w:p>
        </w:tc>
        <w:tc>
          <w:tcPr>
            <w:tcW w:w="1467" w:type="dxa"/>
            <w:gridSpan w:val="2"/>
            <w:vMerge w:val="continue"/>
            <w:vAlign w:val="center"/>
          </w:tcPr>
          <w:p>
            <w:pPr>
              <w:jc w:val="center"/>
              <w:rPr>
                <w:rFonts w:hint="eastAsia" w:ascii="宋体" w:hAnsi="宋体" w:eastAsia="宋体" w:cs="宋体"/>
                <w:sz w:val="28"/>
                <w:szCs w:val="28"/>
              </w:rPr>
            </w:pPr>
          </w:p>
        </w:tc>
        <w:tc>
          <w:tcPr>
            <w:tcW w:w="2174" w:type="dxa"/>
            <w:vMerge w:val="continue"/>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vMerge w:val="continue"/>
            <w:vAlign w:val="center"/>
          </w:tcPr>
          <w:p>
            <w:pPr>
              <w:jc w:val="center"/>
              <w:rPr>
                <w:rFonts w:hint="eastAsia" w:ascii="宋体" w:hAnsi="宋体" w:eastAsia="宋体" w:cs="宋体"/>
                <w:sz w:val="28"/>
                <w:szCs w:val="28"/>
              </w:rPr>
            </w:pPr>
          </w:p>
        </w:tc>
        <w:tc>
          <w:tcPr>
            <w:tcW w:w="2494"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集中性实践环节</w:t>
            </w:r>
          </w:p>
        </w:tc>
        <w:tc>
          <w:tcPr>
            <w:tcW w:w="146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28"/>
                <w:szCs w:val="28"/>
              </w:rPr>
            </w:pPr>
            <w:r>
              <w:rPr>
                <w:rFonts w:hint="eastAsia" w:ascii="宋体" w:hAnsi="宋体" w:eastAsia="宋体" w:cs="宋体"/>
                <w:i w:val="0"/>
                <w:iCs w:val="0"/>
                <w:color w:val="000000"/>
                <w:kern w:val="0"/>
                <w:sz w:val="28"/>
                <w:szCs w:val="28"/>
                <w:u w:val="none"/>
                <w:lang w:val="en-US" w:eastAsia="zh-CN" w:bidi="ar"/>
              </w:rPr>
              <w:t>30</w:t>
            </w:r>
          </w:p>
        </w:tc>
        <w:tc>
          <w:tcPr>
            <w:tcW w:w="1467" w:type="dxa"/>
            <w:gridSpan w:val="2"/>
            <w:vMerge w:val="continue"/>
            <w:vAlign w:val="center"/>
          </w:tcPr>
          <w:p>
            <w:pPr>
              <w:jc w:val="center"/>
              <w:rPr>
                <w:rFonts w:hint="eastAsia" w:ascii="宋体" w:hAnsi="宋体" w:eastAsia="宋体" w:cs="宋体"/>
                <w:sz w:val="28"/>
                <w:szCs w:val="28"/>
              </w:rPr>
            </w:pPr>
          </w:p>
        </w:tc>
        <w:tc>
          <w:tcPr>
            <w:tcW w:w="2174" w:type="dxa"/>
            <w:vMerge w:val="continue"/>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8" w:type="dxa"/>
            <w:gridSpan w:val="2"/>
            <w:vAlign w:val="center"/>
          </w:tcPr>
          <w:p>
            <w:pPr>
              <w:jc w:val="center"/>
              <w:rPr>
                <w:rFonts w:hint="eastAsia" w:ascii="宋体" w:hAnsi="宋体" w:eastAsia="宋体" w:cs="宋体"/>
                <w:sz w:val="28"/>
                <w:szCs w:val="28"/>
              </w:rPr>
            </w:pPr>
            <w:r>
              <w:rPr>
                <w:rFonts w:hint="eastAsia" w:ascii="宋体" w:hAnsi="宋体" w:eastAsia="宋体" w:cs="宋体"/>
                <w:sz w:val="28"/>
                <w:szCs w:val="28"/>
              </w:rPr>
              <w:t>合计</w:t>
            </w:r>
          </w:p>
        </w:tc>
        <w:tc>
          <w:tcPr>
            <w:tcW w:w="2928" w:type="dxa"/>
            <w:gridSpan w:val="3"/>
            <w:vAlign w:val="center"/>
          </w:tcPr>
          <w:p>
            <w:pPr>
              <w:widowControl/>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160</w:t>
            </w:r>
          </w:p>
        </w:tc>
        <w:tc>
          <w:tcPr>
            <w:tcW w:w="2174" w:type="dxa"/>
            <w:vAlign w:val="center"/>
          </w:tcPr>
          <w:p>
            <w:pPr>
              <w:widowControl/>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100%</w:t>
            </w:r>
          </w:p>
        </w:tc>
      </w:tr>
    </w:tbl>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课程体系包括理论教学和实践教学两部分。理论教学包括通识教育课程、学科专业基础课程、专业课程；实践教学包括课内实验（实践）、独立实验、集中性实践环节。集中性实践环节包括：军事训练、入学教育、专业认知实习、专业实训、专业综合实习和毕业论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课程体系中同时设置大学生学涯规划、职业环境认知、创新创业基础、创业投融资等课程，强化创新创业教育。</w:t>
      </w: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表2 </w:t>
      </w:r>
      <w:r>
        <w:rPr>
          <w:rFonts w:hint="eastAsia" w:ascii="宋体" w:hAnsi="宋体" w:eastAsia="宋体" w:cs="宋体"/>
          <w:sz w:val="28"/>
          <w:szCs w:val="28"/>
        </w:rPr>
        <w:t>课内课程学分学时统计表</w:t>
      </w:r>
    </w:p>
    <w:tbl>
      <w:tblPr>
        <w:tblStyle w:val="3"/>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0"/>
        <w:gridCol w:w="1445"/>
        <w:gridCol w:w="1452"/>
        <w:gridCol w:w="1481"/>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0"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课程类别</w:t>
            </w:r>
          </w:p>
        </w:tc>
        <w:tc>
          <w:tcPr>
            <w:tcW w:w="1445"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课程性质</w:t>
            </w:r>
          </w:p>
        </w:tc>
        <w:tc>
          <w:tcPr>
            <w:tcW w:w="1452"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学分</w:t>
            </w:r>
          </w:p>
        </w:tc>
        <w:tc>
          <w:tcPr>
            <w:tcW w:w="1481"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学时</w:t>
            </w:r>
          </w:p>
        </w:tc>
        <w:tc>
          <w:tcPr>
            <w:tcW w:w="2300"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占总学分百分比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0" w:type="dxa"/>
            <w:vMerge w:val="restart"/>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通识教育课程</w:t>
            </w:r>
          </w:p>
        </w:tc>
        <w:tc>
          <w:tcPr>
            <w:tcW w:w="1445" w:type="dxa"/>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sz w:val="28"/>
                <w:szCs w:val="28"/>
              </w:rPr>
            </w:pPr>
            <w:r>
              <w:rPr>
                <w:rStyle w:val="6"/>
                <w:rFonts w:hint="eastAsia" w:asciiTheme="minorEastAsia" w:hAnsiTheme="minorEastAsia" w:eastAsiaTheme="minorEastAsia" w:cstheme="minorEastAsia"/>
                <w:sz w:val="28"/>
                <w:szCs w:val="28"/>
                <w:lang w:val="en-US" w:eastAsia="zh-CN" w:bidi="ar"/>
              </w:rPr>
              <w:t>必修</w:t>
            </w:r>
          </w:p>
        </w:tc>
        <w:tc>
          <w:tcPr>
            <w:tcW w:w="1452" w:type="dxa"/>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olor w:val="000000"/>
                <w:kern w:val="0"/>
                <w:sz w:val="28"/>
                <w:szCs w:val="28"/>
                <w:u w:val="none"/>
                <w:lang w:val="en-US" w:eastAsia="zh-CN" w:bidi="ar"/>
              </w:rPr>
              <w:t>46</w:t>
            </w:r>
          </w:p>
        </w:tc>
        <w:tc>
          <w:tcPr>
            <w:tcW w:w="1481" w:type="dxa"/>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840</w:t>
            </w:r>
          </w:p>
        </w:tc>
        <w:tc>
          <w:tcPr>
            <w:tcW w:w="2300" w:type="dxa"/>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olor w:val="000000"/>
                <w:kern w:val="0"/>
                <w:sz w:val="28"/>
                <w:szCs w:val="28"/>
                <w:u w:val="none"/>
                <w:lang w:val="en-US" w:eastAsia="zh-CN" w:bidi="ar"/>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0" w:type="dxa"/>
            <w:vMerge w:val="continue"/>
            <w:vAlign w:val="center"/>
          </w:tcPr>
          <w:p>
            <w:pPr>
              <w:jc w:val="center"/>
              <w:rPr>
                <w:rFonts w:hint="eastAsia" w:asciiTheme="minorEastAsia" w:hAnsiTheme="minorEastAsia" w:eastAsiaTheme="minorEastAsia" w:cstheme="minorEastAsia"/>
                <w:sz w:val="28"/>
                <w:szCs w:val="28"/>
              </w:rPr>
            </w:pPr>
          </w:p>
        </w:tc>
        <w:tc>
          <w:tcPr>
            <w:tcW w:w="1445" w:type="dxa"/>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sz w:val="28"/>
                <w:szCs w:val="28"/>
              </w:rPr>
            </w:pPr>
            <w:r>
              <w:rPr>
                <w:rStyle w:val="6"/>
                <w:rFonts w:hint="eastAsia" w:asciiTheme="minorEastAsia" w:hAnsiTheme="minorEastAsia" w:eastAsiaTheme="minorEastAsia" w:cstheme="minorEastAsia"/>
                <w:sz w:val="28"/>
                <w:szCs w:val="28"/>
                <w:lang w:val="en-US" w:eastAsia="zh-CN" w:bidi="ar"/>
              </w:rPr>
              <w:t>选修</w:t>
            </w:r>
          </w:p>
        </w:tc>
        <w:tc>
          <w:tcPr>
            <w:tcW w:w="1452" w:type="dxa"/>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c>
          <w:tcPr>
            <w:tcW w:w="1481" w:type="dxa"/>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olor w:val="000000"/>
                <w:kern w:val="0"/>
                <w:sz w:val="28"/>
                <w:szCs w:val="28"/>
                <w:u w:val="none"/>
                <w:lang w:val="en-US" w:eastAsia="zh-CN" w:bidi="ar"/>
              </w:rPr>
              <w:t>160</w:t>
            </w:r>
          </w:p>
        </w:tc>
        <w:tc>
          <w:tcPr>
            <w:tcW w:w="2300" w:type="dxa"/>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olor w:val="000000"/>
                <w:kern w:val="0"/>
                <w:sz w:val="28"/>
                <w:szCs w:val="28"/>
                <w:u w:val="none"/>
                <w:lang w:val="en-US" w:eastAsia="zh-CN" w:bidi="ar"/>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0" w:type="dxa"/>
            <w:vMerge w:val="restart"/>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学科专业基础课程</w:t>
            </w:r>
          </w:p>
        </w:tc>
        <w:tc>
          <w:tcPr>
            <w:tcW w:w="1445" w:type="dxa"/>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sz w:val="28"/>
                <w:szCs w:val="28"/>
              </w:rPr>
            </w:pPr>
            <w:r>
              <w:rPr>
                <w:rStyle w:val="6"/>
                <w:rFonts w:hint="eastAsia" w:asciiTheme="minorEastAsia" w:hAnsiTheme="minorEastAsia" w:eastAsiaTheme="minorEastAsia" w:cstheme="minorEastAsia"/>
                <w:sz w:val="28"/>
                <w:szCs w:val="28"/>
                <w:lang w:val="en-US" w:eastAsia="zh-CN" w:bidi="ar"/>
              </w:rPr>
              <w:t>必修</w:t>
            </w:r>
          </w:p>
        </w:tc>
        <w:tc>
          <w:tcPr>
            <w:tcW w:w="1452" w:type="dxa"/>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olor w:val="000000"/>
                <w:kern w:val="0"/>
                <w:sz w:val="28"/>
                <w:szCs w:val="28"/>
                <w:u w:val="none"/>
                <w:lang w:val="en-US" w:eastAsia="zh-CN" w:bidi="ar"/>
              </w:rPr>
              <w:t>32</w:t>
            </w:r>
          </w:p>
        </w:tc>
        <w:tc>
          <w:tcPr>
            <w:tcW w:w="1481" w:type="dxa"/>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olor w:val="000000"/>
                <w:kern w:val="0"/>
                <w:sz w:val="28"/>
                <w:szCs w:val="28"/>
                <w:u w:val="none"/>
                <w:lang w:val="en-US" w:eastAsia="zh-CN" w:bidi="ar"/>
              </w:rPr>
              <w:t>512</w:t>
            </w:r>
          </w:p>
        </w:tc>
        <w:tc>
          <w:tcPr>
            <w:tcW w:w="2300" w:type="dxa"/>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olor w:val="000000"/>
                <w:kern w:val="0"/>
                <w:sz w:val="28"/>
                <w:szCs w:val="2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0" w:type="dxa"/>
            <w:vMerge w:val="continue"/>
            <w:vAlign w:val="center"/>
          </w:tcPr>
          <w:p>
            <w:pPr>
              <w:jc w:val="center"/>
              <w:rPr>
                <w:rFonts w:hint="eastAsia" w:asciiTheme="minorEastAsia" w:hAnsiTheme="minorEastAsia" w:eastAsiaTheme="minorEastAsia" w:cstheme="minorEastAsia"/>
                <w:sz w:val="28"/>
                <w:szCs w:val="28"/>
              </w:rPr>
            </w:pPr>
          </w:p>
        </w:tc>
        <w:tc>
          <w:tcPr>
            <w:tcW w:w="1445" w:type="dxa"/>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sz w:val="28"/>
                <w:szCs w:val="28"/>
              </w:rPr>
            </w:pPr>
            <w:r>
              <w:rPr>
                <w:rStyle w:val="6"/>
                <w:rFonts w:hint="eastAsia" w:asciiTheme="minorEastAsia" w:hAnsiTheme="minorEastAsia" w:eastAsiaTheme="minorEastAsia" w:cstheme="minorEastAsia"/>
                <w:sz w:val="28"/>
                <w:szCs w:val="28"/>
                <w:lang w:val="en-US" w:eastAsia="zh-CN" w:bidi="ar"/>
              </w:rPr>
              <w:t>选修</w:t>
            </w:r>
          </w:p>
        </w:tc>
        <w:tc>
          <w:tcPr>
            <w:tcW w:w="1452" w:type="dxa"/>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olor w:val="000000"/>
                <w:kern w:val="0"/>
                <w:sz w:val="28"/>
                <w:szCs w:val="28"/>
                <w:u w:val="none"/>
                <w:lang w:val="en-US" w:eastAsia="zh-CN" w:bidi="ar"/>
              </w:rPr>
              <w:t>6</w:t>
            </w:r>
          </w:p>
        </w:tc>
        <w:tc>
          <w:tcPr>
            <w:tcW w:w="1481" w:type="dxa"/>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olor w:val="000000"/>
                <w:kern w:val="0"/>
                <w:sz w:val="28"/>
                <w:szCs w:val="28"/>
                <w:u w:val="none"/>
                <w:lang w:val="en-US" w:eastAsia="zh-CN" w:bidi="ar"/>
              </w:rPr>
              <w:t>96</w:t>
            </w:r>
          </w:p>
        </w:tc>
        <w:tc>
          <w:tcPr>
            <w:tcW w:w="2300" w:type="dxa"/>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olor w:val="000000"/>
                <w:kern w:val="0"/>
                <w:sz w:val="28"/>
                <w:szCs w:val="28"/>
                <w:u w:val="none"/>
                <w:lang w:val="en-US" w:eastAsia="zh-CN" w:bidi="a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0" w:type="dxa"/>
            <w:vMerge w:val="restart"/>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专业课程</w:t>
            </w:r>
          </w:p>
        </w:tc>
        <w:tc>
          <w:tcPr>
            <w:tcW w:w="1445" w:type="dxa"/>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sz w:val="28"/>
                <w:szCs w:val="28"/>
              </w:rPr>
            </w:pPr>
            <w:r>
              <w:rPr>
                <w:rStyle w:val="6"/>
                <w:rFonts w:hint="eastAsia" w:asciiTheme="minorEastAsia" w:hAnsiTheme="minorEastAsia" w:eastAsiaTheme="minorEastAsia" w:cstheme="minorEastAsia"/>
                <w:sz w:val="28"/>
                <w:szCs w:val="28"/>
                <w:lang w:val="en-US" w:eastAsia="zh-CN" w:bidi="ar"/>
              </w:rPr>
              <w:t>必修</w:t>
            </w:r>
          </w:p>
        </w:tc>
        <w:tc>
          <w:tcPr>
            <w:tcW w:w="1452" w:type="dxa"/>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olor w:val="000000"/>
                <w:kern w:val="0"/>
                <w:sz w:val="28"/>
                <w:szCs w:val="28"/>
                <w:u w:val="none"/>
                <w:lang w:val="en-US" w:eastAsia="zh-CN" w:bidi="ar"/>
              </w:rPr>
              <w:t>16</w:t>
            </w:r>
          </w:p>
        </w:tc>
        <w:tc>
          <w:tcPr>
            <w:tcW w:w="1481" w:type="dxa"/>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olor w:val="000000"/>
                <w:kern w:val="0"/>
                <w:sz w:val="28"/>
                <w:szCs w:val="28"/>
                <w:u w:val="none"/>
                <w:lang w:val="en-US" w:eastAsia="zh-CN" w:bidi="ar"/>
              </w:rPr>
              <w:t>256</w:t>
            </w:r>
          </w:p>
        </w:tc>
        <w:tc>
          <w:tcPr>
            <w:tcW w:w="2300" w:type="dxa"/>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0" w:type="dxa"/>
            <w:vMerge w:val="continue"/>
            <w:vAlign w:val="center"/>
          </w:tcPr>
          <w:p>
            <w:pPr>
              <w:jc w:val="center"/>
              <w:rPr>
                <w:rFonts w:hint="eastAsia" w:asciiTheme="minorEastAsia" w:hAnsiTheme="minorEastAsia" w:eastAsiaTheme="minorEastAsia" w:cstheme="minorEastAsia"/>
                <w:sz w:val="28"/>
                <w:szCs w:val="28"/>
              </w:rPr>
            </w:pPr>
          </w:p>
        </w:tc>
        <w:tc>
          <w:tcPr>
            <w:tcW w:w="1445" w:type="dxa"/>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sz w:val="28"/>
                <w:szCs w:val="28"/>
              </w:rPr>
            </w:pPr>
            <w:r>
              <w:rPr>
                <w:rStyle w:val="6"/>
                <w:rFonts w:hint="eastAsia" w:asciiTheme="minorEastAsia" w:hAnsiTheme="minorEastAsia" w:eastAsiaTheme="minorEastAsia" w:cstheme="minorEastAsia"/>
                <w:sz w:val="28"/>
                <w:szCs w:val="28"/>
                <w:lang w:val="en-US" w:eastAsia="zh-CN" w:bidi="ar"/>
              </w:rPr>
              <w:t>选修</w:t>
            </w:r>
          </w:p>
        </w:tc>
        <w:tc>
          <w:tcPr>
            <w:tcW w:w="1452" w:type="dxa"/>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olor w:val="000000"/>
                <w:kern w:val="0"/>
                <w:sz w:val="28"/>
                <w:szCs w:val="28"/>
                <w:u w:val="none"/>
                <w:lang w:val="en-US" w:eastAsia="zh-CN" w:bidi="ar"/>
              </w:rPr>
              <w:t>21</w:t>
            </w:r>
          </w:p>
        </w:tc>
        <w:tc>
          <w:tcPr>
            <w:tcW w:w="1481" w:type="dxa"/>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olor w:val="000000"/>
                <w:kern w:val="0"/>
                <w:sz w:val="28"/>
                <w:szCs w:val="28"/>
                <w:u w:val="none"/>
                <w:lang w:val="en-US" w:eastAsia="zh-CN" w:bidi="ar"/>
              </w:rPr>
              <w:t>336</w:t>
            </w:r>
          </w:p>
        </w:tc>
        <w:tc>
          <w:tcPr>
            <w:tcW w:w="2300" w:type="dxa"/>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olor w:val="000000"/>
                <w:kern w:val="0"/>
                <w:sz w:val="28"/>
                <w:szCs w:val="28"/>
                <w:u w:val="none"/>
                <w:lang w:val="en-US" w:eastAsia="zh-CN" w:bidi="ar"/>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0"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集中性实践环节</w:t>
            </w:r>
          </w:p>
        </w:tc>
        <w:tc>
          <w:tcPr>
            <w:tcW w:w="1445" w:type="dxa"/>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sz w:val="28"/>
                <w:szCs w:val="28"/>
              </w:rPr>
            </w:pPr>
            <w:r>
              <w:rPr>
                <w:rStyle w:val="6"/>
                <w:rFonts w:hint="eastAsia" w:asciiTheme="minorEastAsia" w:hAnsiTheme="minorEastAsia" w:eastAsiaTheme="minorEastAsia" w:cstheme="minorEastAsia"/>
                <w:sz w:val="28"/>
                <w:szCs w:val="28"/>
                <w:lang w:val="en-US" w:eastAsia="zh-CN" w:bidi="ar"/>
              </w:rPr>
              <w:t>必修</w:t>
            </w:r>
          </w:p>
        </w:tc>
        <w:tc>
          <w:tcPr>
            <w:tcW w:w="1452" w:type="dxa"/>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olor w:val="000000"/>
                <w:kern w:val="0"/>
                <w:sz w:val="28"/>
                <w:szCs w:val="28"/>
                <w:u w:val="none"/>
                <w:lang w:val="en-US" w:eastAsia="zh-CN" w:bidi="ar"/>
              </w:rPr>
              <w:t>30</w:t>
            </w:r>
          </w:p>
        </w:tc>
        <w:tc>
          <w:tcPr>
            <w:tcW w:w="1481" w:type="dxa"/>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olor w:val="000000"/>
                <w:kern w:val="0"/>
                <w:sz w:val="28"/>
                <w:szCs w:val="28"/>
                <w:u w:val="none"/>
                <w:lang w:val="en-US" w:eastAsia="zh-CN" w:bidi="ar"/>
              </w:rPr>
              <w:t>46w</w:t>
            </w:r>
          </w:p>
        </w:tc>
        <w:tc>
          <w:tcPr>
            <w:tcW w:w="2300" w:type="dxa"/>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olor w:val="000000"/>
                <w:kern w:val="0"/>
                <w:sz w:val="28"/>
                <w:szCs w:val="28"/>
                <w:u w:val="none"/>
                <w:lang w:val="en-US" w:eastAsia="zh-CN" w:bidi="ar"/>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0" w:type="dxa"/>
            <w:vMerge w:val="restart"/>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小计</w:t>
            </w:r>
          </w:p>
        </w:tc>
        <w:tc>
          <w:tcPr>
            <w:tcW w:w="1445" w:type="dxa"/>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sz w:val="28"/>
                <w:szCs w:val="28"/>
                <w:highlight w:val="none"/>
              </w:rPr>
            </w:pPr>
            <w:r>
              <w:rPr>
                <w:rStyle w:val="6"/>
                <w:rFonts w:hint="eastAsia" w:asciiTheme="minorEastAsia" w:hAnsiTheme="minorEastAsia" w:eastAsiaTheme="minorEastAsia" w:cstheme="minorEastAsia"/>
                <w:sz w:val="28"/>
                <w:szCs w:val="28"/>
                <w:highlight w:val="none"/>
                <w:lang w:val="en-US" w:eastAsia="zh-CN" w:bidi="ar"/>
              </w:rPr>
              <w:t>必修</w:t>
            </w:r>
          </w:p>
        </w:tc>
        <w:tc>
          <w:tcPr>
            <w:tcW w:w="1452" w:type="dxa"/>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olor w:val="000000"/>
                <w:kern w:val="0"/>
                <w:sz w:val="28"/>
                <w:szCs w:val="28"/>
                <w:u w:val="none"/>
                <w:lang w:val="en-US" w:eastAsia="zh-CN" w:bidi="ar"/>
              </w:rPr>
              <w:t>124</w:t>
            </w:r>
          </w:p>
        </w:tc>
        <w:tc>
          <w:tcPr>
            <w:tcW w:w="1481" w:type="dxa"/>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olor w:val="000000"/>
                <w:kern w:val="0"/>
                <w:sz w:val="28"/>
                <w:szCs w:val="28"/>
                <w:u w:val="none"/>
                <w:lang w:val="en-US" w:eastAsia="zh-CN" w:bidi="ar"/>
              </w:rPr>
              <w:t>1560+46w</w:t>
            </w:r>
          </w:p>
        </w:tc>
        <w:tc>
          <w:tcPr>
            <w:tcW w:w="2300" w:type="dxa"/>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olor w:val="000000"/>
                <w:kern w:val="0"/>
                <w:sz w:val="28"/>
                <w:szCs w:val="28"/>
                <w:u w:val="none"/>
                <w:lang w:val="en-US" w:eastAsia="zh-CN" w:bidi="ar"/>
              </w:rPr>
              <w:t>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0" w:type="dxa"/>
            <w:vMerge w:val="continue"/>
            <w:vAlign w:val="center"/>
          </w:tcPr>
          <w:p>
            <w:pPr>
              <w:jc w:val="center"/>
              <w:rPr>
                <w:rFonts w:hint="eastAsia" w:asciiTheme="minorEastAsia" w:hAnsiTheme="minorEastAsia" w:eastAsiaTheme="minorEastAsia" w:cstheme="minorEastAsia"/>
                <w:sz w:val="28"/>
                <w:szCs w:val="28"/>
              </w:rPr>
            </w:pPr>
          </w:p>
        </w:tc>
        <w:tc>
          <w:tcPr>
            <w:tcW w:w="1445" w:type="dxa"/>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sz w:val="28"/>
                <w:szCs w:val="28"/>
                <w:highlight w:val="none"/>
              </w:rPr>
            </w:pPr>
            <w:r>
              <w:rPr>
                <w:rStyle w:val="6"/>
                <w:rFonts w:hint="eastAsia" w:asciiTheme="minorEastAsia" w:hAnsiTheme="minorEastAsia" w:eastAsiaTheme="minorEastAsia" w:cstheme="minorEastAsia"/>
                <w:sz w:val="28"/>
                <w:szCs w:val="28"/>
                <w:highlight w:val="none"/>
                <w:lang w:val="en-US" w:eastAsia="zh-CN" w:bidi="ar"/>
              </w:rPr>
              <w:t>选修</w:t>
            </w:r>
          </w:p>
        </w:tc>
        <w:tc>
          <w:tcPr>
            <w:tcW w:w="1452" w:type="dxa"/>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olor w:val="000000"/>
                <w:kern w:val="0"/>
                <w:sz w:val="28"/>
                <w:szCs w:val="28"/>
                <w:u w:val="none"/>
                <w:lang w:val="en-US" w:eastAsia="zh-CN" w:bidi="ar"/>
              </w:rPr>
              <w:t>36</w:t>
            </w:r>
          </w:p>
        </w:tc>
        <w:tc>
          <w:tcPr>
            <w:tcW w:w="1481" w:type="dxa"/>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olor w:val="000000"/>
                <w:kern w:val="0"/>
                <w:sz w:val="28"/>
                <w:szCs w:val="28"/>
                <w:u w:val="none"/>
                <w:lang w:val="en-US" w:eastAsia="zh-CN" w:bidi="ar"/>
              </w:rPr>
              <w:t>592</w:t>
            </w:r>
          </w:p>
        </w:tc>
        <w:tc>
          <w:tcPr>
            <w:tcW w:w="2300" w:type="dxa"/>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olor w:val="000000"/>
                <w:kern w:val="0"/>
                <w:sz w:val="28"/>
                <w:szCs w:val="28"/>
                <w:u w:val="none"/>
                <w:lang w:val="en-US" w:eastAsia="zh-CN" w:bidi="ar"/>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5" w:type="dxa"/>
            <w:gridSpan w:val="2"/>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合计</w:t>
            </w:r>
          </w:p>
        </w:tc>
        <w:tc>
          <w:tcPr>
            <w:tcW w:w="1452" w:type="dxa"/>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olor w:val="000000"/>
                <w:kern w:val="0"/>
                <w:sz w:val="28"/>
                <w:szCs w:val="28"/>
                <w:u w:val="none"/>
                <w:lang w:val="en-US" w:eastAsia="zh-CN" w:bidi="ar"/>
              </w:rPr>
              <w:t>160</w:t>
            </w:r>
          </w:p>
        </w:tc>
        <w:tc>
          <w:tcPr>
            <w:tcW w:w="1481" w:type="dxa"/>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olor w:val="000000"/>
                <w:kern w:val="0"/>
                <w:sz w:val="28"/>
                <w:szCs w:val="28"/>
                <w:u w:val="none"/>
                <w:lang w:val="en-US" w:eastAsia="zh-CN" w:bidi="ar"/>
              </w:rPr>
              <w:t>2152+46w</w:t>
            </w:r>
          </w:p>
        </w:tc>
        <w:tc>
          <w:tcPr>
            <w:tcW w:w="2300" w:type="dxa"/>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olor w:val="000000"/>
                <w:kern w:val="0"/>
                <w:sz w:val="28"/>
                <w:szCs w:val="28"/>
                <w:u w:val="none"/>
                <w:lang w:val="en-US" w:eastAsia="zh-CN" w:bidi="ar"/>
              </w:rPr>
              <w:t>100%</w:t>
            </w:r>
          </w:p>
        </w:tc>
      </w:tr>
    </w:tbl>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p>
    <w:p>
      <w:pPr>
        <w:jc w:val="both"/>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5.2理论教学</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5.2.1思想政治理论课程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思想政治理论课程坚持全面贯彻教育部有关规定，推动中国特色社会主义理论体系进教材、进课堂、进头脑。思想政治理论课程为16学分，开设以下课程：马克思主义基本原理概论、毛泽东思想和中国特色社会主义理论体系概论、中国近现代史纲要、思想道德修养与法治、习近平新时代中国特色社会主义思想概论、形势与政策。</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5.2.2通识课程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通识课程必修包括大学英语、应用写作、大学计算机基础、信息素养、体育、军事理论、国家安全教育、大学生心理健康教育、劳动教育、大学生学涯规划、职业环境认知、创新创业基础，学分总计46学分。通识课程选修从通识教育的艺术类、人文社科类、传统文化类、经济管理类、科学技术类、创新创业类选修课程模块中选修若干课程，模块总选修学分不低于10学分，其中非艺术类学生选修艺术类课程至少2学分。通识教育必修课程中学科基础课程包括高等数学、线性代数、概率论与数理统计，总计学分为12学分。</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5.2.3专业课程</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5.2.3.1专业基础课程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专业基础课程29学分。专业基础课程开设以下课程：政治经济学、微观经济学、宏观经济学、计量经济学、金融学、财政学、统计学和会计学原理。根据培养目标增开管理学原理、专业导论、云计算与大数据概论、Python程序设计、国际贸易实务、电子商务概论。</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5.2.3.2专业必修和选修课程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专业必修课程16学分。专业必修课程包括数字经济学、计量经济学、平台经济学、数字贸易、大数据财务、数字金融、数据可视化工具及应用。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专业选修课程21学分，与专业必修课程形成逻辑上的拓展和延续关系。专业选修课程设置23-25门课程，要求学生至少选修21学分。其中分设数字媒体运营和商务大数据分析两个专业方向，每个专业方向设置4-6门方向限选课程。</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5.2.4任意选修课程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任意选修课程10学分。旨在拓宽学生知识面，培养学生兴趣爱好，发展学生特长。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开设跨学科、跨专业的交叉课程，包括数字贸易、大数据财务、数字媒体管理、数字营销概论、数字金融、新媒体运营等课程。</w:t>
      </w:r>
    </w:p>
    <w:p>
      <w:pPr>
        <w:jc w:val="both"/>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5.3实践教学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实践教学是理论教学的延伸。实践教学包括课内实验课、独立实验课、专业实训课等，如专业实训(含就业指导)、专业综合实习和社会实践(含创新创业实践)等。</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5.3.1专业实验和实训(含就业指导)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根据实际教学需要，充分利用专业实验室、专业实训基地，开设独立的实验、实训课程或环节。教师全程跟踪和指导学生的实验、实训活动。同时，在课堂实践教学中，加强对学生的就业指导，提升学生的就业能力。</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5.3.2专业综合实习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根据专业特点和就业需要，充分利用专业实习基地、实践教学基地，开展有组织的专业综合实习，主要以集中实习为准，自主实习为辅。专业综合实习严格按照实习质量标准加强管理和监督，确保实习质量。专业综合实习安排在第七和第八学期，要求专业综合实习时长不少于6个月，累计24周。实习过程由实习指导老师和企业指导老师共同全程指导，学生在实习中需每月提交一篇实习小记，实习后学生完成一份不少于2000字的实习报告。</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5.3.3社会实践(含创新创业实践)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社会实践包括社会调查、创新创业实践、勤工助学、公益活动和生产劳动等，累计5周左右。社会实践根据培养目标进行组织，积极开展创新创业实践，丰富学生的创业体验，培养创新精神。</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5.3.4 毕业论文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毕业论文应体现经济学类专业鲜明的理论色彩，并兼有应用性和实践性，可采取学术论文、案例分析、调研报告等多种形式，以学术论文为主。案例分析、调研报告等形式的毕业论文在准确性的基础上，应有一定深度的理论分析。学生应在本专业的范围内，根据自身知识储备、兴趣和特长，在指导教师的指导下选题并撰写。毕业论文在内容上应体现学生综合运用专业知识的能力、熟练运用现代经济学研究方法的能力、对问题进行逻辑分析和归纳总结的能力。毕业论文应遵守学术道德和学术规范。毕业论文指导教师由本专业具有讲师及以上职称的专业教师担任，同时聘请企业高管共同指导。指导教师在毕业论文选题、开题、下达任务书、撰写等各个环节全程进行指导和检查。毕业论文不少于10000字。</w:t>
      </w:r>
    </w:p>
    <w:p>
      <w:pPr>
        <w:jc w:val="both"/>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6 教学规范</w:t>
      </w:r>
    </w:p>
    <w:p>
      <w:pPr>
        <w:jc w:val="both"/>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6.1 教学计划</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教学计划是学校保证教学质量和人才培养规格的重要文件，是组织教学过程、安排教学任务的基本依据，应保持相对稳定，并适时修订。执行过程中如需变动，应有学校教学管理部门的规范论证和审批手续。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教学计划严格按照本专业人才培养方案实施，在特定学期开设特定课程，紧紧围绕专业人才培养目标及培养方向，对于特殊情况确实要调整教学计划的，严格按照学校及学院相关流程进行处理。</w:t>
      </w:r>
    </w:p>
    <w:p>
      <w:pPr>
        <w:jc w:val="both"/>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6.2 教学大纲</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教学大纲是实施教学和考核教学效果的依据。列入教学计划的各门课程或实践教学环节，在开课前制定科学合理的教学大纲。教学大纲包括课程性质与简介、先修课程、课程学分、教学时数、各章节知识要点、教材、参考书、教学方法、教学手段、教学进度安排和考核方式等。教学大纲一经确定必须严格执行。</w:t>
      </w:r>
    </w:p>
    <w:p>
      <w:pPr>
        <w:jc w:val="both"/>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6.3 教材选用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高度重视教材建设，严格遵守教材选用制度。专业基础课程、专业必修课程优先选用优秀教材。对于“马克思主义理论研究和建设工程”重点教材目录课程，需一律选用“马克思主义理论研究和建设工程”重点教材；其他课程教材优先选用优秀教材及国家级精品教材、国家级规划立项教材、省部级优秀教材。</w:t>
      </w:r>
    </w:p>
    <w:p>
      <w:pPr>
        <w:jc w:val="both"/>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6.4 课堂教学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课堂教学是教学工作的最重要形式。教师在课前须按照教学大纲认真备课，编制教学进度表，明确辅导与答疑时间。定期开展系部教研活动，组建课程教学团队，开展教学法研究，运用启发式、讨论式、参与式等多种教学方法进行教学研讨并进行教学改革。要求教师把国际前沿学术发展、最新研究成果和实践经验融入课堂教学，注重培养学生的批判性和创造性思维，激发创新创业灵感，提高教学效果；积极使用计算机辅助教学、多媒体教学、案例教学、模拟仿真教学等现代教育技术；教师课后作业布置要求不少于3次，并认真批改和反馈；教师要坚持立德树人，为人师表，语言文字规范，仪表端庄。严格遵守学校教师教学行为规范，并通过考核。</w:t>
      </w:r>
    </w:p>
    <w:p>
      <w:pPr>
        <w:jc w:val="both"/>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6.5 课外实践教学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课外实践教学是课堂教学的延伸，是教学活动的重要组成部分。针对专业认知实习、专业综合实习等课外实践教学编制教学计划，明确教学目的、主要内容与基本要求。要求本专业教师全程直接参与指导学生课外实践活动。</w:t>
      </w:r>
    </w:p>
    <w:p>
      <w:pPr>
        <w:jc w:val="both"/>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6.6 成绩考核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成绩考核是教学的一个重要环节，根据课程特点选择恰当的考核方式，考查学生对知识的掌握和运用知识分析、解决问题的能力。成绩考核包括过程考核，根据过程考核和期末考核综合评定学生的成绩。过程考核包括出勤、课堂讨论、作业和测验等。积极探索非标准答案成绩考核方式，使成绩比较准确地反映学生的水平和能力。</w:t>
      </w:r>
    </w:p>
    <w:p>
      <w:pPr>
        <w:jc w:val="both"/>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7 教师队伍</w:t>
      </w:r>
    </w:p>
    <w:p>
      <w:pPr>
        <w:jc w:val="both"/>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7.1 教师规模与结构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专业教师数量应能满足教学需要。专业未来配备不少于10名的专任教师，包括自有专职教师、外聘兼职教师。每门专业课程尽量实现至少配备2名专任教师。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专业教师队伍职称结构和年龄结构逐步优化，以达到合理性。具有教授职称的教师占专任教师总数的比例不低于10%，具有副教授及以上专业技术职务的教师占专任教师总数的比例不低于30%。生师比不高于18:1。</w:t>
      </w:r>
    </w:p>
    <w:p>
      <w:pPr>
        <w:jc w:val="both"/>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7.2教师专业背景与水平要求</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7.2.1教师专业背景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专任教师具有本专业教育或研究背景，具有硕士及以上学位，逐步提高具有博士学位的专任教师比例。新进专任教师按照学校统筹安排进行岗前培训，提高创新创业教育的意识和能力。实践性强的课程的专任教师具有实务工作背景或实务经验，每学期选派专任教师到企业进行实践。聘请创业优秀人才或高管担任相关专业课程、创新创业课程授课或指导教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专任教师选聘注重学缘结构。发展教师来源多元化，特别是优先聘用相关高水平大学和高水平学科的优秀博士毕业生。同时，采取积极措施鼓励本专业教师到他校攻读更高级学位或进修学习，如工商学者。</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7.2.2教师水平要求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教师应具备高尚的师德和职业操守；了解教育心理学的基本知识和规律，掌握教育教学基本理论、基本方法；具有扎实的专业基础知识和宽广的国际视野，了解学科前沿动态及发展趋势；具有较强的教学、科研与知识更新能力，并能将科研成果和更新的知识转化为教学内容；具有较强的指导学生创新创业的能力；注重参加教学团队建设。</w:t>
      </w:r>
    </w:p>
    <w:p>
      <w:pPr>
        <w:jc w:val="both"/>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8 教学条件</w:t>
      </w:r>
    </w:p>
    <w:p>
      <w:pPr>
        <w:jc w:val="both"/>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8.1 信息资源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具备数量充足、种类齐全的经济学类专业纸质和电子图书、期刊等资源，配备满足教学需要的中外文电子资源数据库和网络视频课程，每年定期更新教学信息资源，以满足不同层次和不同阶段学生的学习需要。原则上要求专业图书(包括纸质、电子)生均拥有量不少于100册，每年生均增加不少于4册。同时建设专门的教学信息资源平台或若干门在线国内外高校开放课程等资源。</w:t>
      </w:r>
    </w:p>
    <w:p>
      <w:pPr>
        <w:jc w:val="both"/>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8.2 教学设施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配备足够数量和功能齐全的教学设施。教学设施包括教室、阅览室、专业实验室、实习基地和教师工作室等。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教室数量能满足教学和学生自习的需要，阅览室保证足够座位和空间。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专业实验室功能齐全、设备先进。计算机台数至少满足1个自然班实验教学需求，教学软件和数据库资源充足。实验室建立系统、完善的管理制度和规范，确保正常运行。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不断拓展校外实习实践基地建设，维持相对稳定的校外实习基地，并使之成为本专业与相关企业长期合作和交流的有效平台。实习基地的数量和规模能够保证每届学生集体实习比例不低于10%。</w:t>
      </w:r>
    </w:p>
    <w:p>
      <w:pPr>
        <w:jc w:val="both"/>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8.3 教学经费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切实保障专业教学经费投入。专业教学经费是指专业教学各环节所需的资源建设费用、教学运行费用与教学评估费用。教学经费的使用向教学一线倾斜，不得用于非教学用途。教学经费的适用严格遵守学校及学院相关规定。</w:t>
      </w:r>
    </w:p>
    <w:p>
      <w:pPr>
        <w:jc w:val="both"/>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9 教学效果</w:t>
      </w:r>
    </w:p>
    <w:p>
      <w:pPr>
        <w:jc w:val="both"/>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9.1 课堂教学效果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建立定量评价与定性评价相结合，学生评价、同行评价、督导评价等多主体参与的课堂教学效果评价指标体系。教学效果评价结果作为教学工作考核、年终考核、教学奖励、职称评定、岗位聘任的重要依据。</w:t>
      </w:r>
    </w:p>
    <w:p>
      <w:pPr>
        <w:jc w:val="both"/>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9.2 教学成果转化和应用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重视包括培养模式改革与创新、课程建设、教材建设、教学方法改革与创新等方面的教学成果转化和应用，并将教学成果及时向学院教学委员会报备。成效显著的教学成果及时加以推广。</w:t>
      </w:r>
    </w:p>
    <w:p>
      <w:pPr>
        <w:jc w:val="both"/>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9.3 生源与创业就业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以社会需求为导向，按照学科特点、师资规模、教学条件确定招生政策，以好的教学效果吸引优质生源。高度重视学生创业就业工作，建立学生创业指导服务机制，对创业就业学生配备创业指导老师和就业指导老师，对自主创业学生实行持续帮扶，加强创业就业指导，提高就业率。</w:t>
      </w:r>
    </w:p>
    <w:p>
      <w:pPr>
        <w:jc w:val="both"/>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10 质量保障体系</w:t>
      </w:r>
    </w:p>
    <w:p>
      <w:pPr>
        <w:jc w:val="both"/>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10.1 组织保障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学校应高度重视专业建设，在专业建设中应充分重视创新创业教育工作，保证人才培养质量。各教学单位应加强教学组织和管理，切实发挥教师在教学中的主体作用。完善教研室(课程组)、系等基层教学组织建设，坚持集体教学研讨，健全老中青教师传帮带机制。学校应加强专业建设指导和教学质量督查，积极开展教学观摩和教学研究工作。鼓励小班(50人以下)教学，严格控制大班(100人以上)教学。</w:t>
      </w:r>
    </w:p>
    <w:p>
      <w:pPr>
        <w:jc w:val="both"/>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10.2 制度保障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建立和完善教学计划、教学大纲、教学进度表、排课与调课、教材选用、成绩考核、试卷与论文等教学管理及文档管理的各项制度。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建立和完善教师及教学管理人员岗位责任制度与奖惩制度，明确教师创新创业教育责任，并将其作为教师专业技术职务评聘和绩效考核的内容之一；为教师水平提高提供必要的经费条件保障；建立和完善课程教学质量评价制度，鼓励有条件的学校探索学生评教、同行互评和社会评学等多元评价体系。建立和完善学生守则、课堂规范、课外实践等学生管理制度。</w:t>
      </w:r>
    </w:p>
    <w:p>
      <w:pPr>
        <w:jc w:val="both"/>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10.3质量监控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建立教学质量状态数据平台，配合学院及学校职能部门共建实时的教学质量状态信息库，定期发布本专业教学质量报告，开展经常化和制度化的质量评估。建立健全毕业论文质量保证体系，确保人才培养质量。注重创新创业教育质量衡量本专业教学水平的教学评估指标体系。</w:t>
      </w:r>
    </w:p>
    <w:p>
      <w:pPr>
        <w:pStyle w:val="5"/>
        <w:rPr>
          <w:rFonts w:hint="eastAsia" w:ascii="方正仿宋_GB2312" w:hAnsi="方正仿宋_GB2312" w:eastAsia="方正仿宋_GB2312" w:cs="方正仿宋_GB2312"/>
          <w:sz w:val="32"/>
          <w:szCs w:val="32"/>
          <w:lang w:val="en-US" w:eastAsia="zh-CN"/>
        </w:rPr>
      </w:pPr>
    </w:p>
    <w:p>
      <w:pPr>
        <w:pStyle w:val="5"/>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编写人：         审核人：          编写时间：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95D754-EC92-4A83-B097-E03E2BC3899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6F40E54-79C4-4C6B-898E-F24024BBE1B3}"/>
  </w:font>
  <w:font w:name="方正楷体_GB2312">
    <w:panose1 w:val="02000000000000000000"/>
    <w:charset w:val="86"/>
    <w:family w:val="auto"/>
    <w:pitch w:val="default"/>
    <w:sig w:usb0="A00002BF" w:usb1="184F6CFA" w:usb2="00000012" w:usb3="00000000" w:csb0="00040001" w:csb1="00000000"/>
    <w:embedRegular r:id="rId3" w:fontKey="{70AC7A65-D15F-45E8-820D-92765B83B77A}"/>
  </w:font>
  <w:font w:name="方正仿宋_GB2312">
    <w:panose1 w:val="02000000000000000000"/>
    <w:charset w:val="86"/>
    <w:family w:val="auto"/>
    <w:pitch w:val="default"/>
    <w:sig w:usb0="A00002BF" w:usb1="184F6CFA" w:usb2="00000012" w:usb3="00000000" w:csb0="00040001" w:csb1="00000000"/>
    <w:embedRegular r:id="rId4" w:fontKey="{CF2DDEBC-5E34-459E-B24B-B8CA96FE5D6C}"/>
  </w:font>
  <w:font w:name="方正小标宋简体">
    <w:altName w:val="微软雅黑"/>
    <w:panose1 w:val="00000000000000000000"/>
    <w:charset w:val="00"/>
    <w:family w:val="auto"/>
    <w:pitch w:val="default"/>
    <w:sig w:usb0="00000000" w:usb1="00000000" w:usb2="00000000" w:usb3="00000000" w:csb0="00000000" w:csb1="00000000"/>
    <w:embedRegular r:id="rId5" w:fontKey="{D272BEE9-D379-42E2-B0BA-474D77C95C52}"/>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embedRegular r:id="rId6" w:fontKey="{6841F56A-23A3-4AFB-93A8-2EA2DA6E0150}"/>
  </w:font>
  <w:font w:name="仿宋_GB2312">
    <w:altName w:val="仿宋"/>
    <w:panose1 w:val="00000000000000000000"/>
    <w:charset w:val="86"/>
    <w:family w:val="modern"/>
    <w:pitch w:val="default"/>
    <w:sig w:usb0="00000000" w:usb1="00000000" w:usb2="00000010" w:usb3="00000000" w:csb0="00040000" w:csb1="00000000"/>
    <w:embedRegular r:id="rId7" w:fontKey="{99EEE1CA-F18C-4F67-A69E-614EEBF2E5D9}"/>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yMDA4NDcyYTZhMDExYmE3NWJlZmQzMGFlMWJhOTQifQ=="/>
  </w:docVars>
  <w:rsids>
    <w:rsidRoot w:val="00000000"/>
    <w:rsid w:val="01205D5C"/>
    <w:rsid w:val="0CEE4403"/>
    <w:rsid w:val="0DCB52A1"/>
    <w:rsid w:val="0FA03105"/>
    <w:rsid w:val="139B5716"/>
    <w:rsid w:val="1A7840BB"/>
    <w:rsid w:val="1D210A3A"/>
    <w:rsid w:val="1DCD06C6"/>
    <w:rsid w:val="24AF7273"/>
    <w:rsid w:val="292673D8"/>
    <w:rsid w:val="2CDC672B"/>
    <w:rsid w:val="2E1405ED"/>
    <w:rsid w:val="3A066EF5"/>
    <w:rsid w:val="41ED7771"/>
    <w:rsid w:val="481F2B47"/>
    <w:rsid w:val="566A1ED0"/>
    <w:rsid w:val="632506E0"/>
    <w:rsid w:val="66AA2E1B"/>
    <w:rsid w:val="685272C6"/>
    <w:rsid w:val="6DAB3881"/>
    <w:rsid w:val="6FD545AA"/>
    <w:rsid w:val="770548E4"/>
    <w:rsid w:val="77424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Default"/>
    <w:autoRedefine/>
    <w:qFormat/>
    <w:uiPriority w:val="0"/>
    <w:pPr>
      <w:widowControl w:val="0"/>
      <w:autoSpaceDE w:val="0"/>
      <w:autoSpaceDN w:val="0"/>
      <w:adjustRightInd w:val="0"/>
      <w:jc w:val="center"/>
    </w:pPr>
    <w:rPr>
      <w:rFonts w:ascii="宋体" w:hAnsi="宋体" w:eastAsia="宋体" w:cs="宋体"/>
      <w:color w:val="000000"/>
      <w:sz w:val="24"/>
      <w:szCs w:val="24"/>
      <w:lang w:val="en-US" w:eastAsia="zh-CN" w:bidi="ar-SA"/>
    </w:rPr>
  </w:style>
  <w:style w:type="character" w:customStyle="1" w:styleId="6">
    <w:name w:val="font21"/>
    <w:basedOn w:val="4"/>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6077</Words>
  <Characters>6364</Characters>
  <Lines>0</Lines>
  <Paragraphs>0</Paragraphs>
  <TotalTime>0</TotalTime>
  <ScaleCrop>false</ScaleCrop>
  <LinksUpToDate>false</LinksUpToDate>
  <CharactersWithSpaces>6423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2024-05-11T15:38:00Z</dcterms:created>
  <dc:creator>123</dc:creator>
  <cp:lastModifiedBy>汐</cp:lastModifiedBy>
  <dcterms:modified xsi:type="dcterms:W3CDTF">2024-05-23T02:50:55Z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559B7050341248CBA5CA0F54D0B2686F_13</vt:lpwstr>
  </property>
</Properties>
</file>